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B65E" w14:textId="224B20EB" w:rsidR="00FF3E76" w:rsidRPr="00FF3E76" w:rsidRDefault="00FF3E76">
      <w:pPr>
        <w:rPr>
          <w:b/>
          <w:bCs/>
          <w:color w:val="215E99" w:themeColor="text2" w:themeTint="BF"/>
        </w:rPr>
      </w:pPr>
      <w:r w:rsidRPr="00FF3E76">
        <w:rPr>
          <w:noProof/>
          <w:color w:val="215E99" w:themeColor="text2" w:themeTint="BF"/>
        </w:rPr>
        <mc:AlternateContent>
          <mc:Choice Requires="wps">
            <w:drawing>
              <wp:anchor distT="0" distB="0" distL="114300" distR="114300" simplePos="0" relativeHeight="251658240" behindDoc="0" locked="0" layoutInCell="1" allowOverlap="1" wp14:anchorId="624FC47F" wp14:editId="55A25FBB">
                <wp:simplePos x="0" y="0"/>
                <wp:positionH relativeFrom="column">
                  <wp:posOffset>4886325</wp:posOffset>
                </wp:positionH>
                <wp:positionV relativeFrom="paragraph">
                  <wp:posOffset>-299085</wp:posOffset>
                </wp:positionV>
                <wp:extent cx="1685290" cy="914400"/>
                <wp:effectExtent l="19050" t="19050" r="29210" b="57150"/>
                <wp:wrapNone/>
                <wp:docPr id="3836816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9144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96B19B7"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P</w:t>
                            </w:r>
                            <w:r>
                              <w:rPr>
                                <w:rFonts w:ascii="Cambria" w:hAnsi="Cambria" w:cs="Calibri"/>
                                <w:color w:val="FFFFFF"/>
                                <w:sz w:val="32"/>
                                <w:szCs w:val="32"/>
                              </w:rPr>
                              <w:t xml:space="preserve">reston </w:t>
                            </w:r>
                            <w:r>
                              <w:rPr>
                                <w:rFonts w:ascii="Cambria" w:hAnsi="Cambria" w:cs="Calibri"/>
                                <w:color w:val="FFFFFF"/>
                                <w:sz w:val="48"/>
                                <w:szCs w:val="48"/>
                              </w:rPr>
                              <w:t>G</w:t>
                            </w:r>
                            <w:r>
                              <w:rPr>
                                <w:rFonts w:ascii="Cambria" w:hAnsi="Cambria" w:cs="Calibri"/>
                                <w:color w:val="FFFFFF"/>
                                <w:sz w:val="32"/>
                                <w:szCs w:val="32"/>
                              </w:rPr>
                              <w:t>rove</w:t>
                            </w:r>
                          </w:p>
                          <w:p w14:paraId="2CC665BC"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M</w:t>
                            </w:r>
                            <w:r>
                              <w:rPr>
                                <w:rFonts w:ascii="Cambria" w:hAnsi="Cambria" w:cs="Calibri"/>
                                <w:color w:val="FFFFFF"/>
                                <w:sz w:val="32"/>
                                <w:szCs w:val="32"/>
                              </w:rPr>
                              <w:t xml:space="preserve">edical </w:t>
                            </w:r>
                            <w:r>
                              <w:rPr>
                                <w:rFonts w:ascii="Cambria" w:hAnsi="Cambria" w:cs="Calibri"/>
                                <w:color w:val="FFFFFF"/>
                                <w:sz w:val="48"/>
                                <w:szCs w:val="48"/>
                              </w:rPr>
                              <w:t>C</w:t>
                            </w:r>
                            <w:r>
                              <w:rPr>
                                <w:rFonts w:ascii="Cambria" w:hAnsi="Cambria" w:cs="Calibri"/>
                                <w:color w:val="FFFFFF"/>
                                <w:sz w:val="32"/>
                                <w:szCs w:val="32"/>
                              </w:rPr>
                              <w:t>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FC47F" id="_x0000_t202" coordsize="21600,21600" o:spt="202" path="m,l,21600r21600,l21600,xe">
                <v:stroke joinstyle="miter"/>
                <v:path gradientshapeok="t" o:connecttype="rect"/>
              </v:shapetype>
              <v:shape id="Text Box 1" o:spid="_x0000_s1026" type="#_x0000_t202" style="position:absolute;margin-left:384.75pt;margin-top:-23.55pt;width:132.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" fillcolor="#4f81bd" strokecolor="#f2f2f2" strokeweight="3pt">
                <v:shadow on="t" color="#243f60" opacity=".5" offset="1pt"/>
                <v:textbox>
                  <w:txbxContent>
                    <w:p w14:paraId="496B19B7"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P</w:t>
                      </w:r>
                      <w:r>
                        <w:rPr>
                          <w:rFonts w:ascii="Cambria" w:hAnsi="Cambria" w:cs="Calibri"/>
                          <w:color w:val="FFFFFF"/>
                          <w:sz w:val="32"/>
                          <w:szCs w:val="32"/>
                        </w:rPr>
                        <w:t xml:space="preserve">reston </w:t>
                      </w:r>
                      <w:r>
                        <w:rPr>
                          <w:rFonts w:ascii="Cambria" w:hAnsi="Cambria" w:cs="Calibri"/>
                          <w:color w:val="FFFFFF"/>
                          <w:sz w:val="48"/>
                          <w:szCs w:val="48"/>
                        </w:rPr>
                        <w:t>G</w:t>
                      </w:r>
                      <w:r>
                        <w:rPr>
                          <w:rFonts w:ascii="Cambria" w:hAnsi="Cambria" w:cs="Calibri"/>
                          <w:color w:val="FFFFFF"/>
                          <w:sz w:val="32"/>
                          <w:szCs w:val="32"/>
                        </w:rPr>
                        <w:t>rove</w:t>
                      </w:r>
                    </w:p>
                    <w:p w14:paraId="2CC665BC"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M</w:t>
                      </w:r>
                      <w:r>
                        <w:rPr>
                          <w:rFonts w:ascii="Cambria" w:hAnsi="Cambria" w:cs="Calibri"/>
                          <w:color w:val="FFFFFF"/>
                          <w:sz w:val="32"/>
                          <w:szCs w:val="32"/>
                        </w:rPr>
                        <w:t xml:space="preserve">edical </w:t>
                      </w:r>
                      <w:r>
                        <w:rPr>
                          <w:rFonts w:ascii="Cambria" w:hAnsi="Cambria" w:cs="Calibri"/>
                          <w:color w:val="FFFFFF"/>
                          <w:sz w:val="48"/>
                          <w:szCs w:val="48"/>
                        </w:rPr>
                        <w:t>C</w:t>
                      </w:r>
                      <w:r>
                        <w:rPr>
                          <w:rFonts w:ascii="Cambria" w:hAnsi="Cambria" w:cs="Calibri"/>
                          <w:color w:val="FFFFFF"/>
                          <w:sz w:val="32"/>
                          <w:szCs w:val="32"/>
                        </w:rPr>
                        <w:t>entre</w:t>
                      </w:r>
                    </w:p>
                  </w:txbxContent>
                </v:textbox>
              </v:shape>
            </w:pict>
          </mc:Fallback>
        </mc:AlternateContent>
      </w:r>
      <w:r w:rsidR="007222C5">
        <w:rPr>
          <w:b/>
          <w:bCs/>
          <w:color w:val="215E99" w:themeColor="text2" w:themeTint="BF"/>
        </w:rPr>
        <w:t xml:space="preserve">Consent to </w:t>
      </w:r>
      <w:r w:rsidRPr="00FF3E76">
        <w:rPr>
          <w:b/>
          <w:bCs/>
          <w:color w:val="215E99" w:themeColor="text2" w:themeTint="BF"/>
        </w:rPr>
        <w:t>Proxy Access to GP online Services</w:t>
      </w:r>
    </w:p>
    <w:p w14:paraId="31AD4CC3" w14:textId="77777777" w:rsidR="00FF3E76" w:rsidRDefault="00FF3E76">
      <w:pPr>
        <w:rPr>
          <w:b/>
          <w:bCs/>
        </w:rPr>
      </w:pPr>
    </w:p>
    <w:p w14:paraId="3F4C458C" w14:textId="52300D1C" w:rsidR="00BE05AB" w:rsidRDefault="008640B4" w:rsidP="00BA118A">
      <w:pPr>
        <w:spacing w:after="120"/>
        <w:rPr>
          <w:b/>
          <w:bCs/>
        </w:rPr>
      </w:pPr>
      <w:r w:rsidRPr="008640B4">
        <w:rPr>
          <w:b/>
          <w:bCs/>
        </w:rPr>
        <w:t>What</w:t>
      </w:r>
      <w:r w:rsidR="00BA118A">
        <w:rPr>
          <w:b/>
          <w:bCs/>
        </w:rPr>
        <w:t xml:space="preserve"> is </w:t>
      </w:r>
      <w:r w:rsidRPr="008640B4">
        <w:rPr>
          <w:b/>
          <w:bCs/>
        </w:rPr>
        <w:t>Proxy Access?</w:t>
      </w:r>
    </w:p>
    <w:p w14:paraId="0037B1B3" w14:textId="1F0F1B02" w:rsidR="00BA118A" w:rsidRDefault="00BA118A" w:rsidP="00BA118A">
      <w:pPr>
        <w:spacing w:after="120"/>
      </w:pPr>
      <w:r>
        <w:t xml:space="preserve">This is where someone is given access to </w:t>
      </w:r>
      <w:r w:rsidR="00670C52">
        <w:t>another person’s</w:t>
      </w:r>
      <w:r>
        <w:t xml:space="preserve"> medical record. For example:</w:t>
      </w:r>
    </w:p>
    <w:p w14:paraId="552415DF" w14:textId="4437D238" w:rsidR="00BA118A" w:rsidRDefault="00BA118A" w:rsidP="00BA118A">
      <w:pPr>
        <w:pStyle w:val="ListParagraph"/>
        <w:numPr>
          <w:ilvl w:val="0"/>
          <w:numId w:val="13"/>
        </w:numPr>
        <w:spacing w:after="120"/>
      </w:pPr>
      <w:r>
        <w:t>A parent or guardian who has legal responsibility for a patient under 11.</w:t>
      </w:r>
    </w:p>
    <w:p w14:paraId="0C140DCD" w14:textId="54D4835D" w:rsidR="00BA118A" w:rsidRDefault="00BA118A" w:rsidP="00BA118A">
      <w:pPr>
        <w:pStyle w:val="ListParagraph"/>
        <w:numPr>
          <w:ilvl w:val="0"/>
          <w:numId w:val="13"/>
        </w:numPr>
        <w:spacing w:after="120"/>
      </w:pPr>
      <w:r>
        <w:t>A parent or guardian where a patient aged 11 or over has given permission.</w:t>
      </w:r>
    </w:p>
    <w:p w14:paraId="52D0A7B6" w14:textId="25363EF7" w:rsidR="00BA118A" w:rsidRDefault="00BA118A" w:rsidP="00BA118A">
      <w:pPr>
        <w:pStyle w:val="ListParagraph"/>
        <w:numPr>
          <w:ilvl w:val="0"/>
          <w:numId w:val="13"/>
        </w:numPr>
        <w:spacing w:after="120"/>
      </w:pPr>
      <w:r>
        <w:t>A parent or guardian who has legal responsibility for a patient between 11 and 16 where a GP has assessed that the patient is not capable of make their own decisions regarding medical health.</w:t>
      </w:r>
    </w:p>
    <w:p w14:paraId="631DE6C0" w14:textId="5CB56A26" w:rsidR="00BA118A" w:rsidRDefault="00BA118A" w:rsidP="00BA118A">
      <w:pPr>
        <w:pStyle w:val="ListParagraph"/>
        <w:numPr>
          <w:ilvl w:val="0"/>
          <w:numId w:val="13"/>
        </w:numPr>
        <w:spacing w:after="120"/>
      </w:pPr>
      <w:r>
        <w:t>A carer for a patient over the age of 16</w:t>
      </w:r>
    </w:p>
    <w:p w14:paraId="1FBDDD6D" w14:textId="77777777" w:rsidR="00BA118A" w:rsidRDefault="00BA118A" w:rsidP="00BA118A">
      <w:pPr>
        <w:pStyle w:val="ListParagraph"/>
        <w:numPr>
          <w:ilvl w:val="0"/>
          <w:numId w:val="13"/>
        </w:numPr>
        <w:spacing w:after="120"/>
      </w:pPr>
    </w:p>
    <w:p w14:paraId="6BE9A5E4" w14:textId="77777777" w:rsidR="00BA118A" w:rsidRDefault="00BA118A" w:rsidP="00BA118A">
      <w:pPr>
        <w:spacing w:after="120"/>
      </w:pPr>
      <w:r>
        <w:t>The proxy does not have to be a registered patient at the practice but must be registered for online services on the GP system and always use their own log in credentials.</w:t>
      </w:r>
    </w:p>
    <w:p w14:paraId="64ED5D6E" w14:textId="77777777" w:rsidR="0099039F" w:rsidRDefault="0099039F" w:rsidP="00BA118A">
      <w:pPr>
        <w:spacing w:after="120"/>
      </w:pPr>
    </w:p>
    <w:p w14:paraId="3035FC1A" w14:textId="38B0C5A0" w:rsidR="0099039F" w:rsidRPr="0099039F" w:rsidRDefault="0099039F" w:rsidP="00BA118A">
      <w:pPr>
        <w:spacing w:after="120"/>
        <w:rPr>
          <w:b/>
          <w:bCs/>
        </w:rPr>
      </w:pPr>
      <w:r>
        <w:rPr>
          <w:b/>
          <w:bCs/>
        </w:rPr>
        <w:t xml:space="preserve">How to gain </w:t>
      </w:r>
      <w:r w:rsidRPr="008640B4">
        <w:rPr>
          <w:b/>
          <w:bCs/>
        </w:rPr>
        <w:t>Proxy Access?</w:t>
      </w:r>
    </w:p>
    <w:p w14:paraId="2A013F01" w14:textId="1EAEBF91" w:rsidR="00BA118A" w:rsidRDefault="00BA118A" w:rsidP="00BA118A">
      <w:pPr>
        <w:spacing w:after="120"/>
      </w:pPr>
      <w:r>
        <w:t xml:space="preserve">To be given proxy access, the patients representative must have the informed consent of the patient or in cases where the patient does not have capacity to consent, their GP has decided that it is in the best interests of the patient to allow proxy access. </w:t>
      </w:r>
    </w:p>
    <w:p w14:paraId="1814A1D4" w14:textId="77777777" w:rsidR="00BA118A" w:rsidRDefault="00BA118A" w:rsidP="00BA118A">
      <w:pPr>
        <w:spacing w:after="120"/>
      </w:pPr>
    </w:p>
    <w:p w14:paraId="2FC06417" w14:textId="115118F1" w:rsidR="00BA118A" w:rsidRDefault="00BA118A" w:rsidP="00BA118A">
      <w:pPr>
        <w:spacing w:after="120"/>
      </w:pPr>
      <w:r>
        <w:t>Patients ages 16 or above are assumed to have the capacity to consent unless there is an indication that they are not. Young patients between the ages of 11 and 16 who are judged as having capacity to consent by their GP may also consent to give proxy access to someone else.</w:t>
      </w:r>
    </w:p>
    <w:p w14:paraId="62434F61" w14:textId="717D8788" w:rsidR="00FF3E76" w:rsidRDefault="00FF3E76" w:rsidP="00FF3E76"/>
    <w:p w14:paraId="67BFEF57" w14:textId="74C80FA2" w:rsidR="002F6F2A" w:rsidRDefault="002F6F2A" w:rsidP="00FF3E76">
      <w:r>
        <w:t>Legitimate reasons for the practice to authorise proxy access without a patients consent include:</w:t>
      </w:r>
    </w:p>
    <w:p w14:paraId="15925987" w14:textId="5A326F98" w:rsidR="002F6F2A" w:rsidRDefault="002F6F2A" w:rsidP="002F6F2A">
      <w:pPr>
        <w:pStyle w:val="ListParagraph"/>
        <w:numPr>
          <w:ilvl w:val="0"/>
          <w:numId w:val="15"/>
        </w:numPr>
      </w:pPr>
      <w:r>
        <w:t xml:space="preserve">The patient has been assessed as lacking capacity to </w:t>
      </w:r>
      <w:proofErr w:type="gramStart"/>
      <w:r>
        <w:t>make a decision</w:t>
      </w:r>
      <w:proofErr w:type="gramEnd"/>
      <w:r>
        <w:t xml:space="preserve"> on granting proxy access and, the applicant has lasting power of attorney for health and welfare registered with the Office of the Public Guardian.</w:t>
      </w:r>
    </w:p>
    <w:p w14:paraId="1FD190DB" w14:textId="596D2A86" w:rsidR="002F6F2A" w:rsidRDefault="002F6F2A" w:rsidP="002F6F2A">
      <w:pPr>
        <w:pStyle w:val="ListParagraph"/>
        <w:numPr>
          <w:ilvl w:val="0"/>
          <w:numId w:val="15"/>
        </w:numPr>
      </w:pPr>
      <w:r>
        <w:t>The applicant is acting as a court appointed deputy on behalf of the patient.</w:t>
      </w:r>
    </w:p>
    <w:p w14:paraId="0008FA23" w14:textId="42D4BCC5" w:rsidR="002F6F2A" w:rsidRDefault="002F6F2A" w:rsidP="002F6F2A">
      <w:pPr>
        <w:pStyle w:val="ListParagraph"/>
        <w:numPr>
          <w:ilvl w:val="0"/>
          <w:numId w:val="15"/>
        </w:numPr>
      </w:pPr>
      <w:r>
        <w:t>The GP considers it to be in the patient's best interest in accordance with the Mental Capacity Act 2005 code of practice.</w:t>
      </w:r>
    </w:p>
    <w:p w14:paraId="0FA52400" w14:textId="53E6225D" w:rsidR="002F6F2A" w:rsidRDefault="002F6F2A" w:rsidP="002F6F2A">
      <w:pPr>
        <w:pStyle w:val="ListParagraph"/>
        <w:numPr>
          <w:ilvl w:val="0"/>
          <w:numId w:val="15"/>
        </w:numPr>
      </w:pPr>
      <w:r>
        <w:t xml:space="preserve">The patient is a child who has been assessed as not competent to </w:t>
      </w:r>
      <w:proofErr w:type="gramStart"/>
      <w:r>
        <w:t>make a decision</w:t>
      </w:r>
      <w:proofErr w:type="gramEnd"/>
      <w:r>
        <w:t xml:space="preserve"> on granting proxy access.</w:t>
      </w:r>
    </w:p>
    <w:p w14:paraId="6DBBBA67" w14:textId="77777777" w:rsidR="0099039F" w:rsidRDefault="0099039F" w:rsidP="0099039F">
      <w:pPr>
        <w:pStyle w:val="ListParagraph"/>
      </w:pPr>
    </w:p>
    <w:p w14:paraId="1124B273" w14:textId="2A0BE208" w:rsidR="002F6F2A" w:rsidRDefault="002F6F2A" w:rsidP="002F6F2A">
      <w:r>
        <w:t xml:space="preserve">The practice may refuse or withdraw proxy access, if they judge that is in the </w:t>
      </w:r>
      <w:r w:rsidR="00670C52">
        <w:t>patient’s</w:t>
      </w:r>
      <w:r>
        <w:t xml:space="preserve"> interest to do so.</w:t>
      </w:r>
    </w:p>
    <w:p w14:paraId="5603ABE8" w14:textId="77777777" w:rsidR="002F6F2A" w:rsidRDefault="002F6F2A" w:rsidP="002F6F2A"/>
    <w:p w14:paraId="6E9BC3D7" w14:textId="77777777" w:rsidR="0099039F" w:rsidRDefault="0099039F" w:rsidP="002F6F2A"/>
    <w:p w14:paraId="017B8518" w14:textId="77777777" w:rsidR="0099039F" w:rsidRDefault="0099039F" w:rsidP="002F6F2A"/>
    <w:p w14:paraId="7012C8BE" w14:textId="609A09C9" w:rsidR="0099039F" w:rsidRPr="0099039F" w:rsidRDefault="0099039F" w:rsidP="002F6F2A">
      <w:pPr>
        <w:rPr>
          <w:b/>
          <w:bCs/>
        </w:rPr>
      </w:pPr>
      <w:r>
        <w:rPr>
          <w:b/>
          <w:bCs/>
        </w:rPr>
        <w:lastRenderedPageBreak/>
        <w:t xml:space="preserve"> What will happen and when?</w:t>
      </w:r>
    </w:p>
    <w:p w14:paraId="613CB10F" w14:textId="7AAD93FA" w:rsidR="002F6F2A" w:rsidRDefault="002F6F2A" w:rsidP="002F6F2A">
      <w:r>
        <w:t>On a childs 11</w:t>
      </w:r>
      <w:r w:rsidRPr="002F6F2A">
        <w:rPr>
          <w:vertAlign w:val="superscript"/>
        </w:rPr>
        <w:t>th</w:t>
      </w:r>
      <w:r>
        <w:t xml:space="preserve"> birthday, the scope of any existing proxy access will be restricted, unless the GP has already assessed the child as able to make an informed decision and the child has given explicit consent for their record to be shared. This is the national standard imposed by NHS England to protect the confidentiality </w:t>
      </w:r>
      <w:r w:rsidR="00874319">
        <w:t>rights of young people. We will send a letter to the child and to their parent or legal guardian on their 11</w:t>
      </w:r>
      <w:r w:rsidR="00874319" w:rsidRPr="00874319">
        <w:rPr>
          <w:vertAlign w:val="superscript"/>
        </w:rPr>
        <w:t>th</w:t>
      </w:r>
      <w:r w:rsidR="00874319">
        <w:t xml:space="preserve"> birthday to inform them of this change.</w:t>
      </w:r>
    </w:p>
    <w:p w14:paraId="61DC366B" w14:textId="77777777" w:rsidR="00874319" w:rsidRDefault="00874319" w:rsidP="002F6F2A"/>
    <w:p w14:paraId="7260F300" w14:textId="773AEA14" w:rsidR="00874319" w:rsidRDefault="00874319" w:rsidP="002F6F2A">
      <w:r>
        <w:t>From age 11-16 a parent or guardian with proxy access will be able to manage certain elements of the young persons record such as demographic data, and make appointments and order repeat prescriptions, but they will not be able to see the young persons past appointments or clinical record, although they would still be able to see the current repeat prescription record.</w:t>
      </w:r>
    </w:p>
    <w:p w14:paraId="014AD03D" w14:textId="77777777" w:rsidR="00874319" w:rsidRDefault="00874319" w:rsidP="002F6F2A"/>
    <w:p w14:paraId="205CBD9B" w14:textId="49FAD75C" w:rsidR="00874319" w:rsidRDefault="00874319" w:rsidP="002F6F2A">
      <w:r>
        <w:t>At the childs 16</w:t>
      </w:r>
      <w:r w:rsidRPr="00874319">
        <w:rPr>
          <w:vertAlign w:val="superscript"/>
        </w:rPr>
        <w:t>th</w:t>
      </w:r>
      <w:r>
        <w:t xml:space="preserve"> birthday, the remaining proxy access will be removed, except where the young person is competent and has given explicit consent to access for a parent or guardian. </w:t>
      </w:r>
    </w:p>
    <w:p w14:paraId="1650B146" w14:textId="77777777" w:rsidR="00874319" w:rsidRDefault="00874319" w:rsidP="002F6F2A"/>
    <w:p w14:paraId="0E9552FC" w14:textId="3DEFE8EC" w:rsidR="00874319" w:rsidRDefault="00670C52" w:rsidP="002F6F2A">
      <w:r>
        <w:t>Again,</w:t>
      </w:r>
      <w:r w:rsidR="00874319">
        <w:t xml:space="preserve"> we will send letters to the child and their parents or guardians to explain that all proxy access has been removed. If the child wants proxy access </w:t>
      </w:r>
      <w:r>
        <w:t>re-instated,</w:t>
      </w:r>
      <w:r w:rsidR="00874319">
        <w:t xml:space="preserve"> they will need to come to the surgery in person with proof of ID to request it.</w:t>
      </w:r>
    </w:p>
    <w:p w14:paraId="0433DA06" w14:textId="77777777" w:rsidR="00874319" w:rsidRDefault="00874319" w:rsidP="002F6F2A"/>
    <w:p w14:paraId="249E61EB" w14:textId="61659D61" w:rsidR="00874319" w:rsidRDefault="00874319" w:rsidP="002F6F2A">
      <w:r>
        <w:t xml:space="preserve">Parents or guardians may continue to be allowed proxy access to their childs online services, after careful discussion with the GP, if it is felt to be in the childs best interest. </w:t>
      </w:r>
    </w:p>
    <w:p w14:paraId="6E2608EC" w14:textId="77777777" w:rsidR="003310B8" w:rsidRDefault="003310B8" w:rsidP="002F6F2A"/>
    <w:p w14:paraId="16F5CBF0" w14:textId="682490E7" w:rsidR="003310B8" w:rsidRPr="003310B8" w:rsidRDefault="003310B8" w:rsidP="002F6F2A">
      <w:pPr>
        <w:rPr>
          <w:b/>
          <w:bCs/>
        </w:rPr>
      </w:pPr>
      <w:bookmarkStart w:id="0" w:name="_Hlk192171848"/>
      <w:r w:rsidRPr="003310B8">
        <w:rPr>
          <w:b/>
          <w:bCs/>
        </w:rPr>
        <w:t>Changing your mind</w:t>
      </w:r>
    </w:p>
    <w:bookmarkEnd w:id="0"/>
    <w:p w14:paraId="52C80572" w14:textId="77777777" w:rsidR="003310B8" w:rsidRDefault="003310B8" w:rsidP="003310B8">
      <w:r>
        <w:t>Allowing proxy access do not need to be a permanent agreement and you can change your decision at any time by contacting the practice in one of the following ways</w:t>
      </w:r>
    </w:p>
    <w:p w14:paraId="5E85C845" w14:textId="77777777" w:rsidR="003310B8" w:rsidRDefault="003310B8" w:rsidP="003310B8"/>
    <w:p w14:paraId="4D60E172" w14:textId="77777777" w:rsidR="003310B8" w:rsidRDefault="003310B8" w:rsidP="003310B8">
      <w:pPr>
        <w:pStyle w:val="ListParagraph"/>
        <w:numPr>
          <w:ilvl w:val="0"/>
          <w:numId w:val="12"/>
        </w:numPr>
      </w:pPr>
      <w:r>
        <w:t>Call 01935 474353 between 8.30am – 6.30pm (after 2pm for our quieter times is advised)</w:t>
      </w:r>
    </w:p>
    <w:p w14:paraId="18B5BF36" w14:textId="77777777" w:rsidR="003310B8" w:rsidRDefault="003310B8" w:rsidP="003310B8">
      <w:pPr>
        <w:pStyle w:val="ListParagraph"/>
        <w:numPr>
          <w:ilvl w:val="0"/>
          <w:numId w:val="12"/>
        </w:numPr>
      </w:pPr>
      <w:r>
        <w:t>In person at the practice reception desk during our opening hours of 8.30am – 6.30pm</w:t>
      </w:r>
    </w:p>
    <w:p w14:paraId="0F754A92" w14:textId="77777777" w:rsidR="003310B8" w:rsidRDefault="003310B8" w:rsidP="003310B8">
      <w:pPr>
        <w:pStyle w:val="ListParagraph"/>
        <w:numPr>
          <w:ilvl w:val="0"/>
          <w:numId w:val="12"/>
        </w:numPr>
      </w:pPr>
      <w:r>
        <w:t xml:space="preserve">In writing via post to – Preston Grove Medical </w:t>
      </w:r>
      <w:proofErr w:type="spellStart"/>
      <w:r>
        <w:t>Centre,</w:t>
      </w:r>
      <w:proofErr w:type="spellEnd"/>
      <w:r>
        <w:t xml:space="preserve"> Preston Grove, Yeovil, Somerset, BA20 2BQ </w:t>
      </w:r>
    </w:p>
    <w:p w14:paraId="1BF64948" w14:textId="77777777" w:rsidR="003310B8" w:rsidRDefault="003310B8" w:rsidP="0099039F">
      <w:pPr>
        <w:pStyle w:val="ListParagraph"/>
      </w:pPr>
    </w:p>
    <w:p w14:paraId="2A63D3FB" w14:textId="44A45B8C" w:rsidR="003310B8" w:rsidRPr="003310B8" w:rsidRDefault="003310B8" w:rsidP="002F6F2A">
      <w:pPr>
        <w:rPr>
          <w:b/>
          <w:bCs/>
        </w:rPr>
      </w:pPr>
      <w:r>
        <w:rPr>
          <w:b/>
          <w:bCs/>
        </w:rPr>
        <w:t>Background Information</w:t>
      </w:r>
    </w:p>
    <w:p w14:paraId="2DBCC5FB" w14:textId="04807E28" w:rsidR="00874319" w:rsidRDefault="003310B8" w:rsidP="002F6F2A">
      <w:r>
        <w:t xml:space="preserve">In UK law a </w:t>
      </w:r>
      <w:r w:rsidR="00670C52">
        <w:t>person’s</w:t>
      </w:r>
      <w:r>
        <w:t xml:space="preserve"> 18</w:t>
      </w:r>
      <w:r w:rsidRPr="003310B8">
        <w:rPr>
          <w:vertAlign w:val="superscript"/>
        </w:rPr>
        <w:t>th</w:t>
      </w:r>
      <w:r>
        <w:t xml:space="preserve"> birthday draws the line between childhood and adulthood (Childrens Act 1989) so in healthcare matters and </w:t>
      </w:r>
      <w:proofErr w:type="gramStart"/>
      <w:r>
        <w:t>18 year old</w:t>
      </w:r>
      <w:proofErr w:type="gramEnd"/>
      <w:r>
        <w:t xml:space="preserve"> enjoys as much autonomy as any other adult.</w:t>
      </w:r>
    </w:p>
    <w:p w14:paraId="42744E0B" w14:textId="48EE5B43" w:rsidR="003310B8" w:rsidRDefault="003310B8" w:rsidP="002F6F2A">
      <w:r>
        <w:t xml:space="preserve">To a more limited extent, </w:t>
      </w:r>
      <w:r w:rsidR="00670C52">
        <w:t>16- and 17-year-olds</w:t>
      </w:r>
      <w:r>
        <w:t xml:space="preserve"> can also take medical decisions independently of their patents. The right of younger children to provide independent consent is proportionate to their competence. A childs age along is an unreliable predictor of their competence to make decisions.</w:t>
      </w:r>
    </w:p>
    <w:p w14:paraId="55D51F9D" w14:textId="5B0E8461" w:rsidR="003310B8" w:rsidRDefault="003310B8" w:rsidP="002F6F2A">
      <w:pPr>
        <w:rPr>
          <w:b/>
          <w:bCs/>
        </w:rPr>
      </w:pPr>
      <w:r>
        <w:rPr>
          <w:b/>
          <w:bCs/>
        </w:rPr>
        <w:lastRenderedPageBreak/>
        <w:t>Gillick Competence</w:t>
      </w:r>
    </w:p>
    <w:p w14:paraId="4655E3B3" w14:textId="14D98952" w:rsidR="003310B8" w:rsidRDefault="003310B8" w:rsidP="002F6F2A">
      <w:r>
        <w:t xml:space="preserve">The ‘Gillick Test’ helps clinicians to identify children aged under 16 who have the legal capacity to consent to medical examination and treatment. They must be able to demonstrate sufficient maturity and intelligence to understand the nature and implications of the proposed treatment, including the risks and alternative courses of actions.  </w:t>
      </w:r>
    </w:p>
    <w:p w14:paraId="5C2B5406" w14:textId="3EF55AA6" w:rsidR="003310B8" w:rsidRDefault="003310B8" w:rsidP="002F6F2A">
      <w:r>
        <w:t xml:space="preserve">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Gillick test, The Gillick test was named after a mother who has challenged health service guidance that would have allowed her daughters under 16 to received confidential contraceptive advice without her knowledge. </w:t>
      </w:r>
    </w:p>
    <w:p w14:paraId="6FAA2E24" w14:textId="77777777" w:rsidR="0099039F" w:rsidRDefault="0099039F" w:rsidP="002F6F2A"/>
    <w:p w14:paraId="58D72CC2" w14:textId="423022E9" w:rsidR="0099039F" w:rsidRDefault="0099039F" w:rsidP="002F6F2A">
      <w:pPr>
        <w:rPr>
          <w:b/>
          <w:bCs/>
        </w:rPr>
      </w:pPr>
      <w:r>
        <w:rPr>
          <w:b/>
          <w:bCs/>
        </w:rPr>
        <w:t>Fraser Guidelines</w:t>
      </w:r>
    </w:p>
    <w:p w14:paraId="5B94135F" w14:textId="18A9DCA5" w:rsidR="0099039F" w:rsidRPr="0099039F" w:rsidRDefault="0099039F" w:rsidP="002F6F2A">
      <w:r>
        <w:t xml:space="preserve">As one of the Law Lords responsible for the Gillick judgment, Lord Fraser specifically addressed the dilemma of providing contraceptive advice to girls with the knowledge of their parents. He was particularly concerned with the welfare of girls who would not abstain from intercourse whether they were given contraception or not. The summary of his judgment referring to the provision of contraceptive advice was presented as the ‘Fraser Guidelines’. Fraser guidelines are narrower than Gillick competencies and relate specifically to contraception. </w:t>
      </w:r>
    </w:p>
    <w:p w14:paraId="4DA886C1" w14:textId="77777777" w:rsidR="00874319" w:rsidRDefault="00874319" w:rsidP="002F6F2A"/>
    <w:p w14:paraId="0B9600E9" w14:textId="77777777" w:rsidR="00874319" w:rsidRPr="000E59F5" w:rsidRDefault="00874319" w:rsidP="002F6F2A"/>
    <w:sectPr w:rsidR="00874319" w:rsidRPr="000E59F5" w:rsidSect="00FF3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42D"/>
    <w:multiLevelType w:val="hybridMultilevel"/>
    <w:tmpl w:val="A542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D60F9"/>
    <w:multiLevelType w:val="hybridMultilevel"/>
    <w:tmpl w:val="C2082632"/>
    <w:lvl w:ilvl="0" w:tplc="4A889990">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D5014"/>
    <w:multiLevelType w:val="hybridMultilevel"/>
    <w:tmpl w:val="D3CE4118"/>
    <w:lvl w:ilvl="0" w:tplc="4A88999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19F7"/>
    <w:multiLevelType w:val="multilevel"/>
    <w:tmpl w:val="836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D73C3"/>
    <w:multiLevelType w:val="hybridMultilevel"/>
    <w:tmpl w:val="8C96E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E660B"/>
    <w:multiLevelType w:val="multilevel"/>
    <w:tmpl w:val="FDC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34DFA"/>
    <w:multiLevelType w:val="hybridMultilevel"/>
    <w:tmpl w:val="73E23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20BE7"/>
    <w:multiLevelType w:val="hybridMultilevel"/>
    <w:tmpl w:val="222A1512"/>
    <w:lvl w:ilvl="0" w:tplc="BF3AA8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D63A3"/>
    <w:multiLevelType w:val="hybridMultilevel"/>
    <w:tmpl w:val="50785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32AF6"/>
    <w:multiLevelType w:val="multilevel"/>
    <w:tmpl w:val="CA3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B0BC7"/>
    <w:multiLevelType w:val="multilevel"/>
    <w:tmpl w:val="07D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40D08"/>
    <w:multiLevelType w:val="hybridMultilevel"/>
    <w:tmpl w:val="E73A4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A6ADD"/>
    <w:multiLevelType w:val="multilevel"/>
    <w:tmpl w:val="F3E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F7F5D"/>
    <w:multiLevelType w:val="hybridMultilevel"/>
    <w:tmpl w:val="E7F8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3382A"/>
    <w:multiLevelType w:val="multilevel"/>
    <w:tmpl w:val="B08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31572">
    <w:abstractNumId w:val="0"/>
  </w:num>
  <w:num w:numId="2" w16cid:durableId="793138939">
    <w:abstractNumId w:val="14"/>
  </w:num>
  <w:num w:numId="3" w16cid:durableId="716703176">
    <w:abstractNumId w:val="5"/>
  </w:num>
  <w:num w:numId="4" w16cid:durableId="526605601">
    <w:abstractNumId w:val="9"/>
  </w:num>
  <w:num w:numId="5" w16cid:durableId="351497106">
    <w:abstractNumId w:val="12"/>
  </w:num>
  <w:num w:numId="6" w16cid:durableId="1394811004">
    <w:abstractNumId w:val="3"/>
  </w:num>
  <w:num w:numId="7" w16cid:durableId="750125534">
    <w:abstractNumId w:val="10"/>
  </w:num>
  <w:num w:numId="8" w16cid:durableId="1951352852">
    <w:abstractNumId w:val="11"/>
  </w:num>
  <w:num w:numId="9" w16cid:durableId="2129546985">
    <w:abstractNumId w:val="13"/>
  </w:num>
  <w:num w:numId="10" w16cid:durableId="1254049230">
    <w:abstractNumId w:val="6"/>
  </w:num>
  <w:num w:numId="11" w16cid:durableId="669674004">
    <w:abstractNumId w:val="8"/>
  </w:num>
  <w:num w:numId="12" w16cid:durableId="664014033">
    <w:abstractNumId w:val="7"/>
  </w:num>
  <w:num w:numId="13" w16cid:durableId="804549043">
    <w:abstractNumId w:val="2"/>
  </w:num>
  <w:num w:numId="14" w16cid:durableId="1468283685">
    <w:abstractNumId w:val="4"/>
  </w:num>
  <w:num w:numId="15" w16cid:durableId="209612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B4"/>
    <w:rsid w:val="000E59F5"/>
    <w:rsid w:val="002F6F2A"/>
    <w:rsid w:val="00316231"/>
    <w:rsid w:val="003310B8"/>
    <w:rsid w:val="004A2CFA"/>
    <w:rsid w:val="00554C2A"/>
    <w:rsid w:val="00667298"/>
    <w:rsid w:val="00670C52"/>
    <w:rsid w:val="007222C5"/>
    <w:rsid w:val="00825FE1"/>
    <w:rsid w:val="008640B4"/>
    <w:rsid w:val="00874319"/>
    <w:rsid w:val="0099039F"/>
    <w:rsid w:val="00BA118A"/>
    <w:rsid w:val="00BE05AB"/>
    <w:rsid w:val="00FF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2711"/>
  <w15:chartTrackingRefBased/>
  <w15:docId w15:val="{54CE7024-D3DC-4EE6-B54B-8BDAD71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0B4"/>
    <w:rPr>
      <w:rFonts w:eastAsiaTheme="majorEastAsia" w:cstheme="majorBidi"/>
      <w:color w:val="272727" w:themeColor="text1" w:themeTint="D8"/>
    </w:rPr>
  </w:style>
  <w:style w:type="paragraph" w:styleId="Title">
    <w:name w:val="Title"/>
    <w:basedOn w:val="Normal"/>
    <w:next w:val="Normal"/>
    <w:link w:val="TitleChar"/>
    <w:uiPriority w:val="10"/>
    <w:qFormat/>
    <w:rsid w:val="00864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0B4"/>
    <w:pPr>
      <w:spacing w:before="160"/>
      <w:jc w:val="center"/>
    </w:pPr>
    <w:rPr>
      <w:i/>
      <w:iCs/>
      <w:color w:val="404040" w:themeColor="text1" w:themeTint="BF"/>
    </w:rPr>
  </w:style>
  <w:style w:type="character" w:customStyle="1" w:styleId="QuoteChar">
    <w:name w:val="Quote Char"/>
    <w:basedOn w:val="DefaultParagraphFont"/>
    <w:link w:val="Quote"/>
    <w:uiPriority w:val="29"/>
    <w:rsid w:val="008640B4"/>
    <w:rPr>
      <w:i/>
      <w:iCs/>
      <w:color w:val="404040" w:themeColor="text1" w:themeTint="BF"/>
    </w:rPr>
  </w:style>
  <w:style w:type="paragraph" w:styleId="ListParagraph">
    <w:name w:val="List Paragraph"/>
    <w:basedOn w:val="Normal"/>
    <w:uiPriority w:val="34"/>
    <w:qFormat/>
    <w:rsid w:val="008640B4"/>
    <w:pPr>
      <w:ind w:left="720"/>
      <w:contextualSpacing/>
    </w:pPr>
  </w:style>
  <w:style w:type="character" w:styleId="IntenseEmphasis">
    <w:name w:val="Intense Emphasis"/>
    <w:basedOn w:val="DefaultParagraphFont"/>
    <w:uiPriority w:val="21"/>
    <w:qFormat/>
    <w:rsid w:val="008640B4"/>
    <w:rPr>
      <w:i/>
      <w:iCs/>
      <w:color w:val="0F4761" w:themeColor="accent1" w:themeShade="BF"/>
    </w:rPr>
  </w:style>
  <w:style w:type="paragraph" w:styleId="IntenseQuote">
    <w:name w:val="Intense Quote"/>
    <w:basedOn w:val="Normal"/>
    <w:next w:val="Normal"/>
    <w:link w:val="IntenseQuoteChar"/>
    <w:uiPriority w:val="30"/>
    <w:qFormat/>
    <w:rsid w:val="00864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0B4"/>
    <w:rPr>
      <w:i/>
      <w:iCs/>
      <w:color w:val="0F4761" w:themeColor="accent1" w:themeShade="BF"/>
    </w:rPr>
  </w:style>
  <w:style w:type="character" w:styleId="IntenseReference">
    <w:name w:val="Intense Reference"/>
    <w:basedOn w:val="DefaultParagraphFont"/>
    <w:uiPriority w:val="32"/>
    <w:qFormat/>
    <w:rsid w:val="00864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5512">
      <w:bodyDiv w:val="1"/>
      <w:marLeft w:val="0"/>
      <w:marRight w:val="0"/>
      <w:marTop w:val="0"/>
      <w:marBottom w:val="0"/>
      <w:divBdr>
        <w:top w:val="none" w:sz="0" w:space="0" w:color="auto"/>
        <w:left w:val="none" w:sz="0" w:space="0" w:color="auto"/>
        <w:bottom w:val="none" w:sz="0" w:space="0" w:color="auto"/>
        <w:right w:val="none" w:sz="0" w:space="0" w:color="auto"/>
      </w:divBdr>
    </w:div>
    <w:div w:id="174853476">
      <w:bodyDiv w:val="1"/>
      <w:marLeft w:val="0"/>
      <w:marRight w:val="0"/>
      <w:marTop w:val="0"/>
      <w:marBottom w:val="0"/>
      <w:divBdr>
        <w:top w:val="none" w:sz="0" w:space="0" w:color="auto"/>
        <w:left w:val="none" w:sz="0" w:space="0" w:color="auto"/>
        <w:bottom w:val="none" w:sz="0" w:space="0" w:color="auto"/>
        <w:right w:val="none" w:sz="0" w:space="0" w:color="auto"/>
      </w:divBdr>
    </w:div>
    <w:div w:id="1399356014">
      <w:bodyDiv w:val="1"/>
      <w:marLeft w:val="0"/>
      <w:marRight w:val="0"/>
      <w:marTop w:val="0"/>
      <w:marBottom w:val="0"/>
      <w:divBdr>
        <w:top w:val="none" w:sz="0" w:space="0" w:color="auto"/>
        <w:left w:val="none" w:sz="0" w:space="0" w:color="auto"/>
        <w:bottom w:val="none" w:sz="0" w:space="0" w:color="auto"/>
        <w:right w:val="none" w:sz="0" w:space="0" w:color="auto"/>
      </w:divBdr>
    </w:div>
    <w:div w:id="1551721052">
      <w:bodyDiv w:val="1"/>
      <w:marLeft w:val="0"/>
      <w:marRight w:val="0"/>
      <w:marTop w:val="0"/>
      <w:marBottom w:val="0"/>
      <w:divBdr>
        <w:top w:val="none" w:sz="0" w:space="0" w:color="auto"/>
        <w:left w:val="none" w:sz="0" w:space="0" w:color="auto"/>
        <w:bottom w:val="none" w:sz="0" w:space="0" w:color="auto"/>
        <w:right w:val="none" w:sz="0" w:space="0" w:color="auto"/>
      </w:divBdr>
    </w:div>
    <w:div w:id="1790278626">
      <w:bodyDiv w:val="1"/>
      <w:marLeft w:val="0"/>
      <w:marRight w:val="0"/>
      <w:marTop w:val="0"/>
      <w:marBottom w:val="0"/>
      <w:divBdr>
        <w:top w:val="none" w:sz="0" w:space="0" w:color="auto"/>
        <w:left w:val="none" w:sz="0" w:space="0" w:color="auto"/>
        <w:bottom w:val="none" w:sz="0" w:space="0" w:color="auto"/>
        <w:right w:val="none" w:sz="0" w:space="0" w:color="auto"/>
      </w:divBdr>
    </w:div>
    <w:div w:id="19330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GULLIFORD, Cheryl (PRESTON GROVE MEDICAL CENTRE, YEOVIL)</dc:creator>
  <cp:keywords/>
  <dc:description/>
  <cp:lastModifiedBy>GULLIFORD, Cheryl (PRESTON GROVE MEDICAL CENTRE, YEOVIL)</cp:lastModifiedBy>
  <cp:revision>5</cp:revision>
  <dcterms:created xsi:type="dcterms:W3CDTF">2025-03-06T16:43:00Z</dcterms:created>
  <dcterms:modified xsi:type="dcterms:W3CDTF">2025-03-06T17:11:00Z</dcterms:modified>
</cp:coreProperties>
</file>